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66"/>
        <w:gridCol w:w="1891"/>
        <w:gridCol w:w="11"/>
      </w:tblGrid>
      <w:tr w:rsidR="005C73B4" w:rsidTr="0033727C">
        <w:trPr>
          <w:gridAfter w:val="1"/>
          <w:wAfter w:w="11" w:type="dxa"/>
          <w:trHeight w:val="18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B4" w:rsidRDefault="005C73B4" w:rsidP="0033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14FB0E" wp14:editId="11F049DD">
                  <wp:extent cx="923925" cy="1104900"/>
                  <wp:effectExtent l="0" t="0" r="9525" b="0"/>
                  <wp:docPr id="1" name="Obraz 1" descr="POL Lubniewice 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L Lubniewice 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C73B4" w:rsidRDefault="005C73B4" w:rsidP="0033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 MIEJSKI W LUBNIEWICACH</w:t>
            </w:r>
          </w:p>
          <w:p w:rsidR="005C73B4" w:rsidRDefault="005C73B4" w:rsidP="0033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Jana Pawła II 51</w:t>
            </w:r>
          </w:p>
          <w:p w:rsidR="005C73B4" w:rsidRDefault="005C73B4" w:rsidP="0033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69-210 Lubniewice</w:t>
            </w:r>
          </w:p>
          <w:p w:rsidR="005C73B4" w:rsidRDefault="005C73B4" w:rsidP="0033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tel. 95 755 7052 fax: 95 755 7024</w:t>
            </w:r>
          </w:p>
          <w:p w:rsidR="005C73B4" w:rsidRDefault="00D90A45" w:rsidP="0033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6" w:history="1">
              <w:r w:rsidR="005C73B4">
                <w:rPr>
                  <w:rStyle w:val="Hipercze"/>
                  <w:rFonts w:ascii="Times New Roman" w:hAnsi="Times New Roman"/>
                  <w:b/>
                  <w:bCs/>
                </w:rPr>
                <w:t>www.lubniewice.pl</w:t>
              </w:r>
            </w:hyperlink>
            <w:r w:rsidR="005C73B4">
              <w:rPr>
                <w:rFonts w:ascii="Times New Roman" w:hAnsi="Times New Roman"/>
                <w:b/>
                <w:bCs/>
              </w:rPr>
              <w:t xml:space="preserve">  </w:t>
            </w:r>
            <w:hyperlink r:id="rId7" w:history="1">
              <w:r w:rsidR="005C73B4">
                <w:rPr>
                  <w:rStyle w:val="Hipercze"/>
                  <w:rFonts w:ascii="Times New Roman" w:hAnsi="Times New Roman"/>
                  <w:b/>
                  <w:bCs/>
                </w:rPr>
                <w:t>urzad@lubniewice.pl</w:t>
              </w:r>
            </w:hyperlink>
          </w:p>
        </w:tc>
      </w:tr>
      <w:tr w:rsidR="005C73B4" w:rsidTr="0033727C">
        <w:trPr>
          <w:trHeight w:val="69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C73B4" w:rsidRDefault="005C73B4" w:rsidP="0033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KARTA USŁUGI</w:t>
            </w: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karty:</w:t>
            </w:r>
            <w:r w:rsidR="00D90A45">
              <w:rPr>
                <w:rFonts w:ascii="Times New Roman" w:hAnsi="Times New Roman"/>
              </w:rPr>
              <w:t xml:space="preserve"> 5/USC</w:t>
            </w:r>
            <w:bookmarkStart w:id="0" w:name="_GoBack"/>
            <w:bookmarkEnd w:id="0"/>
          </w:p>
        </w:tc>
      </w:tr>
      <w:tr w:rsidR="005C73B4" w:rsidTr="0033727C">
        <w:trPr>
          <w:trHeight w:val="816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C73B4" w:rsidRDefault="008B6C31" w:rsidP="0033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WPISANIE DO REJESTRU WYBORCÓW</w:t>
            </w: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C73B4" w:rsidTr="0033727C">
        <w:trPr>
          <w:gridAfter w:val="1"/>
          <w:wAfter w:w="11" w:type="dxa"/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załatwienia sprawy</w:t>
            </w: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C73B4" w:rsidRDefault="005C73B4" w:rsidP="0033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Urząd Miejski w Lubniewicach, </w:t>
            </w:r>
            <w:r>
              <w:rPr>
                <w:rFonts w:ascii="Times New Roman" w:hAnsi="Times New Roman"/>
                <w:b/>
                <w:bCs/>
              </w:rPr>
              <w:br/>
              <w:t>ul. Jana Pawła II 51 69-210 Lubniewice</w:t>
            </w:r>
            <w:r>
              <w:rPr>
                <w:rFonts w:ascii="Times New Roman" w:hAnsi="Times New Roman"/>
                <w:b/>
                <w:bCs/>
              </w:rPr>
              <w:br/>
              <w:t>pokój nr 2 (parter), tel. 728 990 122, ewidencjaludnosci@lubniewice.pl</w:t>
            </w:r>
          </w:p>
        </w:tc>
      </w:tr>
      <w:tr w:rsidR="005C73B4" w:rsidTr="0033727C">
        <w:trPr>
          <w:gridAfter w:val="1"/>
          <w:wAfter w:w="11" w:type="dxa"/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dokumenty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5C73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 wpisanie wyborcy do rejestru wyborców,</w:t>
            </w:r>
          </w:p>
          <w:p w:rsidR="005C73B4" w:rsidRDefault="005C73B4" w:rsidP="005C73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kserokopia ważnego dokumentu potwierdzającego tożsamość,   </w:t>
            </w:r>
          </w:p>
          <w:p w:rsidR="005C73B4" w:rsidRDefault="005C73B4" w:rsidP="005C73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Pisemna deklaracja w której wnioskodawca podaje swoje obywatelstwo i adres stałego zamieszkania na terytorium Rzeczpospolitej Polskiej.                                                                      </w:t>
            </w:r>
          </w:p>
        </w:tc>
      </w:tr>
      <w:tr w:rsidR="005C73B4" w:rsidTr="0033727C">
        <w:trPr>
          <w:gridAfter w:val="1"/>
          <w:wAfter w:w="11" w:type="dxa"/>
          <w:trHeight w:val="6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B4" w:rsidRPr="007A1C95" w:rsidRDefault="005C73B4" w:rsidP="005C7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73B4" w:rsidTr="0033727C">
        <w:trPr>
          <w:gridAfter w:val="1"/>
          <w:wAfter w:w="11" w:type="dxa"/>
          <w:trHeight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20" w:rsidRPr="00DD7D20" w:rsidRDefault="00DD7D20" w:rsidP="00DD7D2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DD7D20">
              <w:rPr>
                <w:rFonts w:ascii="Times New Roman" w:hAnsi="Times New Roman"/>
                <w:b/>
                <w:bCs/>
              </w:rPr>
              <w:t>Wnioskowania o wpisanie do rejestru wyborców</w:t>
            </w:r>
            <w:r w:rsidRPr="00DD7D20">
              <w:rPr>
                <w:rFonts w:ascii="Times New Roman" w:hAnsi="Times New Roman"/>
              </w:rPr>
              <w:t xml:space="preserve"> - art. 19 ustawy z dnia 5 stycznia 2011 r. Kodeks wyborczy.</w:t>
            </w:r>
          </w:p>
          <w:p w:rsidR="005C73B4" w:rsidRPr="00DD7D20" w:rsidRDefault="00DD7D20" w:rsidP="00DD7D2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D7D20">
              <w:rPr>
                <w:rFonts w:ascii="Times New Roman" w:hAnsi="Times New Roman"/>
              </w:rPr>
              <w:t>art. 104 ustawy z dnia 14 czerwca 1960 r. Kodeks postępowania administracyjnego, w związku  z art. 20 § 1  ustawy z dnia 5 stycznia 2011 r. Kodeks wyborczy.</w:t>
            </w:r>
          </w:p>
        </w:tc>
      </w:tr>
      <w:tr w:rsidR="005C73B4" w:rsidTr="0033727C">
        <w:trPr>
          <w:gridAfter w:val="1"/>
          <w:wAfter w:w="11" w:type="dxa"/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  <w:p w:rsidR="005C73B4" w:rsidRDefault="005C73B4" w:rsidP="0033727C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składania dokumentów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73B4" w:rsidTr="0033727C">
        <w:trPr>
          <w:gridAfter w:val="1"/>
          <w:wAfter w:w="11" w:type="dxa"/>
          <w:trHeight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20" w:rsidRPr="00DD7D20" w:rsidRDefault="00DD7D20" w:rsidP="00DD7D20">
            <w:pPr>
              <w:pStyle w:val="Akapitzlist"/>
              <w:numPr>
                <w:ilvl w:val="0"/>
                <w:numId w:val="13"/>
              </w:numPr>
              <w:tabs>
                <w:tab w:val="left" w:pos="601"/>
              </w:tabs>
              <w:suppressAutoHyphens/>
              <w:spacing w:after="0" w:line="240" w:lineRule="auto"/>
              <w:ind w:left="885"/>
              <w:jc w:val="both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DD7D20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Decyzja o wpisaniu lub odmowie wpisania do rejestru wyborców, wydawana w ciągu </w:t>
            </w: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5 </w:t>
            </w:r>
            <w:r w:rsidRPr="00DD7D20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dni od dnia wniesienia wniosku. </w:t>
            </w:r>
          </w:p>
          <w:p w:rsidR="005C73B4" w:rsidRPr="00AE4EB1" w:rsidRDefault="005C73B4" w:rsidP="00DD7D20">
            <w:pPr>
              <w:pStyle w:val="Akapitzlist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C73B4" w:rsidTr="0033727C">
        <w:trPr>
          <w:gridAfter w:val="1"/>
          <w:wAfter w:w="11" w:type="dxa"/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odwoławczy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B4" w:rsidRPr="005C73B4" w:rsidRDefault="005C73B4" w:rsidP="005C73B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C73B4">
              <w:rPr>
                <w:rFonts w:ascii="Times New Roman" w:hAnsi="Times New Roman"/>
              </w:rPr>
              <w:t>Od decyzji  w sprawie odmowy  wpisania do rejestru wyborców  przysługuje prawo wniesienia skargi do właściwego miejscowo sądu rejonowego. Skargę wnosi się za pośrednictwem Burmistrza Lubniewic w ciągu 3 dni od daty doręczenia decyzji.</w:t>
            </w:r>
          </w:p>
          <w:p w:rsidR="005C73B4" w:rsidRPr="00DD7D20" w:rsidRDefault="005C73B4" w:rsidP="005C73B4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7D20">
              <w:rPr>
                <w:rFonts w:ascii="Times New Roman" w:hAnsi="Times New Roman"/>
              </w:rPr>
              <w:t xml:space="preserve">Od decyzji orzekającej o wpisaniu do rejestru wyborców nie przysługuje odwołanie, ani skarga do sądu. Na stwierdzone nieprawidłowości w danych osobowych przysługuje prawo wniesienia reklamacji do Burmistrza Lubniewic. Burmistrz obowiązany jest rozpatrzyć reklamację w terminie 3 dni od dnia jej wniesienia i wydać decyzję w sprawie. Na decyzję nieuwzględniającą reklamacji lub powodującą skreślenie z rejestru wyborców wnoszący reklamację bądź osoba skreślona </w:t>
            </w:r>
            <w:r w:rsidRPr="00DD7D20">
              <w:rPr>
                <w:rFonts w:ascii="Times New Roman" w:hAnsi="Times New Roman"/>
              </w:rPr>
              <w:br/>
              <w:t xml:space="preserve">z rejestru wyborców może wnieść, w terminie 3 dni od dnia doręczenia decyzji, skargę za pośrednictwem </w:t>
            </w:r>
            <w:r w:rsidR="008B6C31">
              <w:rPr>
                <w:rFonts w:ascii="Times New Roman" w:hAnsi="Times New Roman"/>
              </w:rPr>
              <w:t>Burmistrza Lubniewic</w:t>
            </w:r>
            <w:r w:rsidRPr="00DD7D20">
              <w:rPr>
                <w:rFonts w:ascii="Times New Roman" w:hAnsi="Times New Roman"/>
              </w:rPr>
              <w:t xml:space="preserve"> do właściwego miejscowo sądu rejonowego. </w:t>
            </w:r>
          </w:p>
          <w:p w:rsidR="005C73B4" w:rsidRPr="005C73B4" w:rsidRDefault="005C73B4" w:rsidP="005C73B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73B4" w:rsidTr="0033727C">
        <w:trPr>
          <w:gridAfter w:val="1"/>
          <w:wAfter w:w="11" w:type="dxa"/>
          <w:trHeight w:val="7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31" w:rsidRPr="008B6C31" w:rsidRDefault="005C73B4" w:rsidP="00DD7D20">
            <w:pPr>
              <w:pStyle w:val="Tekstpodstawowy3"/>
              <w:numPr>
                <w:ilvl w:val="0"/>
                <w:numId w:val="6"/>
              </w:numPr>
              <w:spacing w:after="0"/>
              <w:jc w:val="both"/>
              <w:rPr>
                <w:sz w:val="22"/>
                <w:szCs w:val="22"/>
              </w:rPr>
            </w:pPr>
            <w:r w:rsidRPr="00DD7D20">
              <w:rPr>
                <w:bCs/>
                <w:sz w:val="22"/>
                <w:szCs w:val="22"/>
              </w:rPr>
              <w:t>Stały rejestr wyborców obejmuje osoby stale zamieszkałe na obszarze gminy</w:t>
            </w:r>
            <w:r w:rsidR="008B6C31">
              <w:rPr>
                <w:bCs/>
                <w:sz w:val="22"/>
                <w:szCs w:val="22"/>
              </w:rPr>
              <w:t xml:space="preserve"> Lubniewice</w:t>
            </w:r>
            <w:r w:rsidRPr="00DD7D20">
              <w:rPr>
                <w:bCs/>
                <w:sz w:val="22"/>
                <w:szCs w:val="22"/>
              </w:rPr>
              <w:t xml:space="preserve">, którym przysługuje prawo wybierania. </w:t>
            </w:r>
          </w:p>
          <w:p w:rsidR="005C73B4" w:rsidRPr="00DD7D20" w:rsidRDefault="005C73B4" w:rsidP="00DD7D20">
            <w:pPr>
              <w:pStyle w:val="Tekstpodstawowy3"/>
              <w:numPr>
                <w:ilvl w:val="0"/>
                <w:numId w:val="6"/>
              </w:numPr>
              <w:spacing w:after="0"/>
              <w:jc w:val="both"/>
              <w:rPr>
                <w:sz w:val="22"/>
                <w:szCs w:val="22"/>
              </w:rPr>
            </w:pPr>
            <w:r w:rsidRPr="00DD7D20">
              <w:rPr>
                <w:bCs/>
                <w:sz w:val="22"/>
                <w:szCs w:val="22"/>
              </w:rPr>
              <w:t>Można być ujętym tylko w jednym rejestrze wyborców.</w:t>
            </w:r>
          </w:p>
          <w:p w:rsidR="005C73B4" w:rsidRPr="00DD7D20" w:rsidRDefault="005C73B4" w:rsidP="00DD7D20">
            <w:pPr>
              <w:pStyle w:val="Tekstpodstawowy3"/>
              <w:numPr>
                <w:ilvl w:val="0"/>
                <w:numId w:val="6"/>
              </w:numPr>
              <w:spacing w:after="0"/>
              <w:jc w:val="both"/>
              <w:rPr>
                <w:bCs/>
                <w:sz w:val="22"/>
                <w:szCs w:val="22"/>
              </w:rPr>
            </w:pPr>
            <w:r w:rsidRPr="00DD7D20">
              <w:rPr>
                <w:bCs/>
                <w:sz w:val="22"/>
                <w:szCs w:val="22"/>
              </w:rPr>
              <w:t xml:space="preserve">Wyborcy będący obywatelami polskimi, zameldowani </w:t>
            </w:r>
            <w:r w:rsidR="00DD7D20" w:rsidRPr="00DD7D20">
              <w:rPr>
                <w:bCs/>
                <w:sz w:val="22"/>
                <w:szCs w:val="22"/>
              </w:rPr>
              <w:br/>
            </w:r>
            <w:r w:rsidRPr="00DD7D20">
              <w:rPr>
                <w:bCs/>
                <w:sz w:val="22"/>
                <w:szCs w:val="22"/>
              </w:rPr>
              <w:t xml:space="preserve">w </w:t>
            </w:r>
            <w:r w:rsidR="00DD7D20" w:rsidRPr="00DD7D20">
              <w:rPr>
                <w:bCs/>
                <w:sz w:val="22"/>
                <w:szCs w:val="22"/>
              </w:rPr>
              <w:t>gminie Lubniewice</w:t>
            </w:r>
            <w:r w:rsidRPr="00DD7D20">
              <w:rPr>
                <w:bCs/>
                <w:sz w:val="22"/>
                <w:szCs w:val="22"/>
              </w:rPr>
              <w:t xml:space="preserve"> na pobyt stały są wpisywani do rejestru wyborców z urzędu.</w:t>
            </w:r>
          </w:p>
          <w:p w:rsidR="005C73B4" w:rsidRPr="00DD7D20" w:rsidRDefault="00DD7D20" w:rsidP="00DD7D20">
            <w:pPr>
              <w:pStyle w:val="Tekstpodstawowy3"/>
              <w:numPr>
                <w:ilvl w:val="0"/>
                <w:numId w:val="6"/>
              </w:num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DD7D20">
              <w:rPr>
                <w:bCs/>
                <w:sz w:val="22"/>
                <w:szCs w:val="22"/>
              </w:rPr>
              <w:t xml:space="preserve">Wyborcy stale zamieszkali </w:t>
            </w:r>
            <w:r w:rsidR="005C73B4" w:rsidRPr="00DD7D20">
              <w:rPr>
                <w:bCs/>
                <w:sz w:val="22"/>
                <w:szCs w:val="22"/>
              </w:rPr>
              <w:t>bez</w:t>
            </w:r>
            <w:r w:rsidRPr="00DD7D20">
              <w:rPr>
                <w:bCs/>
                <w:sz w:val="22"/>
                <w:szCs w:val="22"/>
              </w:rPr>
              <w:t xml:space="preserve"> zameldowania na pobyt stały,  W</w:t>
            </w:r>
            <w:r w:rsidR="005C73B4" w:rsidRPr="00DD7D20">
              <w:rPr>
                <w:bCs/>
                <w:sz w:val="22"/>
                <w:szCs w:val="22"/>
              </w:rPr>
              <w:t>yborcy nigdzie niezamieszkali, przebywający stale</w:t>
            </w:r>
            <w:r w:rsidR="008B6C31">
              <w:rPr>
                <w:bCs/>
                <w:sz w:val="22"/>
                <w:szCs w:val="22"/>
              </w:rPr>
              <w:t xml:space="preserve"> na terenie gminy Lubniewice</w:t>
            </w:r>
            <w:r w:rsidR="005C73B4" w:rsidRPr="00DD7D20">
              <w:rPr>
                <w:bCs/>
                <w:sz w:val="22"/>
                <w:szCs w:val="22"/>
              </w:rPr>
              <w:t xml:space="preserve"> o</w:t>
            </w:r>
            <w:r w:rsidRPr="00DD7D20">
              <w:rPr>
                <w:bCs/>
                <w:sz w:val="22"/>
                <w:szCs w:val="22"/>
              </w:rPr>
              <w:t xml:space="preserve">raz Wyborcy stale zamieszkali </w:t>
            </w:r>
            <w:r w:rsidR="005C73B4" w:rsidRPr="00DD7D20">
              <w:rPr>
                <w:bCs/>
                <w:sz w:val="22"/>
                <w:szCs w:val="22"/>
              </w:rPr>
              <w:t xml:space="preserve">pod innym adresem aniżeli adres ich zameldowania na pobyt stały </w:t>
            </w:r>
            <w:r w:rsidRPr="00DD7D20">
              <w:rPr>
                <w:bCs/>
                <w:sz w:val="22"/>
                <w:szCs w:val="22"/>
              </w:rPr>
              <w:t>w gminie Lubniewice</w:t>
            </w:r>
            <w:r w:rsidR="005C73B4" w:rsidRPr="00DD7D20">
              <w:rPr>
                <w:bCs/>
                <w:sz w:val="22"/>
                <w:szCs w:val="22"/>
              </w:rPr>
              <w:t>,</w:t>
            </w:r>
            <w:r w:rsidR="005C73B4" w:rsidRPr="00DD7D20">
              <w:rPr>
                <w:b/>
                <w:bCs/>
                <w:sz w:val="22"/>
                <w:szCs w:val="22"/>
              </w:rPr>
              <w:t xml:space="preserve"> </w:t>
            </w:r>
            <w:r w:rsidR="005C73B4" w:rsidRPr="00DD7D20">
              <w:rPr>
                <w:sz w:val="22"/>
                <w:szCs w:val="22"/>
              </w:rPr>
              <w:t xml:space="preserve">mogą  być wpisani do rejestru wyborców pod adresem stałego zamieszkania, jeżeli złożą w tej sprawie w Urzędzie Miasta </w:t>
            </w:r>
            <w:r w:rsidRPr="00DD7D20">
              <w:rPr>
                <w:sz w:val="22"/>
                <w:szCs w:val="22"/>
              </w:rPr>
              <w:t>Lubniewice</w:t>
            </w:r>
            <w:r w:rsidR="005C73B4" w:rsidRPr="00DD7D20">
              <w:rPr>
                <w:sz w:val="22"/>
                <w:szCs w:val="22"/>
              </w:rPr>
              <w:t xml:space="preserve"> wniosek wraz z załącznikami wymienionymi w części I niniejszej karty usługi oraz </w:t>
            </w:r>
            <w:r w:rsidR="005C73B4" w:rsidRPr="00DD7D20">
              <w:rPr>
                <w:b/>
                <w:sz w:val="22"/>
                <w:szCs w:val="22"/>
              </w:rPr>
              <w:t>uprawdopodobnią swoje stałe zamieszkanie pod wskazanym przez siebie adresem.</w:t>
            </w:r>
          </w:p>
          <w:p w:rsidR="005C73B4" w:rsidRPr="00515CC6" w:rsidRDefault="005C73B4" w:rsidP="003372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B4" w:rsidTr="0033727C">
        <w:trPr>
          <w:gridAfter w:val="1"/>
          <w:wAfter w:w="11" w:type="dxa"/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73B4" w:rsidRDefault="005C73B4" w:rsidP="00337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Formularze, wnioski, druki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3B4" w:rsidRPr="008B6C31" w:rsidRDefault="005C73B4" w:rsidP="008B6C3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6C3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WNIOSEK O </w:t>
            </w:r>
            <w:r w:rsidR="00DD7D20" w:rsidRPr="008B6C31">
              <w:rPr>
                <w:rFonts w:ascii="Times New Roman" w:hAnsi="Times New Roman"/>
                <w:color w:val="FF0000"/>
                <w:sz w:val="18"/>
                <w:szCs w:val="18"/>
              </w:rPr>
              <w:t>WPISANIE WYBORCY DO REJESTRU WYBORCÓW</w:t>
            </w:r>
          </w:p>
          <w:p w:rsidR="008B6C31" w:rsidRPr="008B6C31" w:rsidRDefault="008B6C31" w:rsidP="008B6C31">
            <w:pPr>
              <w:pStyle w:val="Akapitzlist"/>
              <w:numPr>
                <w:ilvl w:val="0"/>
                <w:numId w:val="14"/>
              </w:numPr>
              <w:spacing w:after="240" w:line="240" w:lineRule="auto"/>
              <w:rPr>
                <w:rFonts w:ascii="Times New Roman" w:eastAsia="Times New Roman" w:hAnsi="Times New Roman" w:cs="Arial"/>
                <w:bCs/>
                <w:color w:val="FF0000"/>
                <w:sz w:val="18"/>
                <w:szCs w:val="18"/>
                <w:lang w:eastAsia="pl-PL"/>
              </w:rPr>
            </w:pPr>
            <w:r w:rsidRPr="008B6C31">
              <w:rPr>
                <w:rFonts w:ascii="Times New Roman" w:eastAsia="Times New Roman" w:hAnsi="Times New Roman" w:cs="Arial"/>
                <w:bCs/>
                <w:color w:val="FF0000"/>
                <w:sz w:val="18"/>
                <w:szCs w:val="18"/>
                <w:lang w:eastAsia="pl-PL"/>
              </w:rPr>
              <w:t>PISEMNA DEKLARACJA ZAWIERAJĄCA INFORMACJE NIEZBĘDNE DO WPISANIA DO REJESTRU WYBORCÓW</w:t>
            </w:r>
          </w:p>
        </w:tc>
      </w:tr>
    </w:tbl>
    <w:p w:rsidR="005C73B4" w:rsidRDefault="005C73B4" w:rsidP="005C73B4">
      <w:pPr>
        <w:rPr>
          <w:rFonts w:ascii="Times New Roman" w:hAnsi="Times New Roman"/>
        </w:rPr>
      </w:pPr>
    </w:p>
    <w:p w:rsidR="005C73B4" w:rsidRDefault="005C73B4" w:rsidP="005C73B4">
      <w:r>
        <w:rPr>
          <w:rFonts w:ascii="Times New Roman" w:hAnsi="Times New Roman"/>
        </w:rPr>
        <w:t xml:space="preserve">Sporządził: </w:t>
      </w:r>
      <w:r>
        <w:rPr>
          <w:rFonts w:ascii="Times New Roman" w:hAnsi="Times New Roman"/>
          <w:i/>
          <w:iCs/>
        </w:rPr>
        <w:t xml:space="preserve">Inspektor ds. obywatelskich - Anna </w:t>
      </w:r>
      <w:proofErr w:type="spellStart"/>
      <w:r>
        <w:rPr>
          <w:rFonts w:ascii="Times New Roman" w:hAnsi="Times New Roman"/>
          <w:i/>
          <w:iCs/>
        </w:rPr>
        <w:t>Nawrot</w:t>
      </w:r>
      <w:proofErr w:type="spellEnd"/>
    </w:p>
    <w:p w:rsidR="005C73B4" w:rsidRDefault="005C73B4" w:rsidP="005C73B4"/>
    <w:p w:rsidR="005C73B4" w:rsidRDefault="005C73B4" w:rsidP="005C73B4"/>
    <w:p w:rsidR="00FC6D34" w:rsidRDefault="00FC6D34"/>
    <w:sectPr w:rsidR="00FC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0B3"/>
    <w:multiLevelType w:val="hybridMultilevel"/>
    <w:tmpl w:val="A9E8C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8151B"/>
    <w:multiLevelType w:val="hybridMultilevel"/>
    <w:tmpl w:val="F5D2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3D05"/>
    <w:multiLevelType w:val="hybridMultilevel"/>
    <w:tmpl w:val="6C6CD09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95F0BC8"/>
    <w:multiLevelType w:val="hybridMultilevel"/>
    <w:tmpl w:val="ABE4EC22"/>
    <w:lvl w:ilvl="0" w:tplc="694E2D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131DE"/>
    <w:multiLevelType w:val="hybridMultilevel"/>
    <w:tmpl w:val="7800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6C59"/>
    <w:multiLevelType w:val="hybridMultilevel"/>
    <w:tmpl w:val="B002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41C19"/>
    <w:multiLevelType w:val="hybridMultilevel"/>
    <w:tmpl w:val="4DF4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C48"/>
    <w:multiLevelType w:val="hybridMultilevel"/>
    <w:tmpl w:val="E366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D3A43"/>
    <w:multiLevelType w:val="hybridMultilevel"/>
    <w:tmpl w:val="1EF4D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150E"/>
    <w:multiLevelType w:val="hybridMultilevel"/>
    <w:tmpl w:val="F8EE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96549"/>
    <w:multiLevelType w:val="hybridMultilevel"/>
    <w:tmpl w:val="D3F0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470A3"/>
    <w:multiLevelType w:val="hybridMultilevel"/>
    <w:tmpl w:val="E692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B4"/>
    <w:rsid w:val="005C73B4"/>
    <w:rsid w:val="008B6C31"/>
    <w:rsid w:val="00D90A45"/>
    <w:rsid w:val="00DD7D20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21B4"/>
  <w15:docId w15:val="{04EBFE27-05FB-492D-B0F2-1225E80C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B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C73B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C7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3B4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C73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C73B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nie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</dc:creator>
  <cp:lastModifiedBy>Malwina MK. Kuszkowska</cp:lastModifiedBy>
  <cp:revision>2</cp:revision>
  <dcterms:created xsi:type="dcterms:W3CDTF">2020-11-23T18:45:00Z</dcterms:created>
  <dcterms:modified xsi:type="dcterms:W3CDTF">2021-04-13T07:31:00Z</dcterms:modified>
</cp:coreProperties>
</file>